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D5" w:rsidRPr="002319D5" w:rsidRDefault="002319D5" w:rsidP="002319D5">
      <w:pPr>
        <w:rPr>
          <w:b/>
          <w:sz w:val="36"/>
          <w:szCs w:val="36"/>
        </w:rPr>
      </w:pPr>
      <w:r w:rsidRPr="002319D5">
        <w:rPr>
          <w:b/>
          <w:sz w:val="36"/>
          <w:szCs w:val="36"/>
        </w:rPr>
        <w:t>LOCAL REGULATION –</w:t>
      </w:r>
    </w:p>
    <w:p w:rsidR="002319D5" w:rsidRDefault="002319D5" w:rsidP="002319D5">
      <w:pPr>
        <w:rPr>
          <w:b/>
          <w:sz w:val="28"/>
          <w:szCs w:val="28"/>
        </w:rPr>
      </w:pPr>
      <w:r w:rsidRPr="002319D5">
        <w:rPr>
          <w:b/>
          <w:sz w:val="28"/>
          <w:szCs w:val="28"/>
        </w:rPr>
        <w:t xml:space="preserve">What we </w:t>
      </w:r>
      <w:proofErr w:type="gramStart"/>
      <w:r w:rsidRPr="002319D5">
        <w:rPr>
          <w:b/>
          <w:sz w:val="28"/>
          <w:szCs w:val="28"/>
          <w:u w:val="single"/>
        </w:rPr>
        <w:t>Cannot</w:t>
      </w:r>
      <w:proofErr w:type="gramEnd"/>
      <w:r w:rsidRPr="002319D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do:</w:t>
      </w:r>
    </w:p>
    <w:p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Establishing a vessel or associated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equipment performance or other safety standard</w:t>
      </w:r>
      <w:r w:rsidRPr="002319D5">
        <w:rPr>
          <w:rFonts w:ascii="Verdana" w:eastAsia="Calibri" w:hAnsi="Verdana" w:cs="Arial"/>
          <w:sz w:val="20"/>
          <w:szCs w:val="20"/>
        </w:rPr>
        <w:t>, imposing a requirement for associated equipment, or regulating the carrying or use of marine safety articles;</w:t>
      </w:r>
    </w:p>
    <w:p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Relating to the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design, manufacture, or installation of any marine sanitation device</w:t>
      </w:r>
      <w:r w:rsidRPr="002319D5">
        <w:rPr>
          <w:rFonts w:ascii="Verdana" w:eastAsia="Calibri" w:hAnsi="Verdana" w:cs="Arial"/>
          <w:sz w:val="20"/>
          <w:szCs w:val="20"/>
        </w:rPr>
        <w:t xml:space="preserve"> on any vessel, except as authorize</w:t>
      </w:r>
      <w:bookmarkStart w:id="0" w:name="_GoBack"/>
      <w:bookmarkEnd w:id="0"/>
      <w:r w:rsidRPr="002319D5">
        <w:rPr>
          <w:rFonts w:ascii="Verdana" w:eastAsia="Calibri" w:hAnsi="Verdana" w:cs="Arial"/>
          <w:sz w:val="20"/>
          <w:szCs w:val="20"/>
        </w:rPr>
        <w:t>d in subsection (4);</w:t>
      </w:r>
    </w:p>
    <w:p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Regulating any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vessel</w:t>
      </w:r>
      <w:r w:rsidRPr="002319D5">
        <w:rPr>
          <w:rFonts w:ascii="Verdana" w:eastAsia="Calibri" w:hAnsi="Verdana" w:cs="Arial"/>
          <w:sz w:val="20"/>
          <w:szCs w:val="20"/>
        </w:rPr>
        <w:t xml:space="preserve"> upon the Florida Intracoastal Waterway;</w:t>
      </w:r>
    </w:p>
    <w:p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>Discriminating against personal watercraft</w:t>
      </w:r>
      <w:r w:rsidRPr="002319D5">
        <w:rPr>
          <w:rFonts w:ascii="Verdana" w:eastAsia="Calibri" w:hAnsi="Verdana" w:cs="Arial"/>
          <w:sz w:val="20"/>
          <w:szCs w:val="20"/>
        </w:rPr>
        <w:t xml:space="preserve"> or </w:t>
      </w:r>
      <w:r w:rsidRPr="002319D5">
        <w:rPr>
          <w:rFonts w:ascii="Verdana" w:eastAsia="Calibri" w:hAnsi="Verdana" w:cs="Arial"/>
          <w:sz w:val="20"/>
          <w:szCs w:val="20"/>
        </w:rPr>
        <w:t>airboats;</w:t>
      </w:r>
    </w:p>
    <w:p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>Discriminating against, for ordinances adopted after July 1, 2006, unless adopted by a two-thirds vote of the governing body enacting such ordinance;</w:t>
      </w:r>
    </w:p>
    <w:p w:rsidR="002319D5" w:rsidRPr="002319D5" w:rsidRDefault="002319D5" w:rsidP="002319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319D5">
        <w:rPr>
          <w:rFonts w:ascii="Verdana" w:eastAsia="Calibri" w:hAnsi="Verdana" w:cs="Arial"/>
          <w:sz w:val="20"/>
          <w:szCs w:val="20"/>
        </w:rPr>
        <w:t xml:space="preserve">Regulating the </w:t>
      </w:r>
      <w:r w:rsidRPr="002319D5">
        <w:rPr>
          <w:rFonts w:ascii="Verdana" w:eastAsia="Calibri" w:hAnsi="Verdana" w:cs="Arial"/>
          <w:sz w:val="20"/>
          <w:szCs w:val="20"/>
          <w:highlight w:val="yellow"/>
        </w:rPr>
        <w:t>anchoring of vessels outside the marked boundaries of mooring fields</w:t>
      </w:r>
      <w:r w:rsidRPr="002319D5">
        <w:rPr>
          <w:rFonts w:ascii="Verdana" w:eastAsia="Calibri" w:hAnsi="Verdana" w:cs="Arial"/>
          <w:sz w:val="20"/>
          <w:szCs w:val="20"/>
        </w:rPr>
        <w:t xml:space="preserve"> permitted as provided in s. 327.40, except for:</w:t>
      </w:r>
    </w:p>
    <w:p w:rsidR="002319D5" w:rsidRPr="002319D5" w:rsidRDefault="002319D5" w:rsidP="002319D5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proofErr w:type="gramStart"/>
      <w:r w:rsidRPr="002319D5">
        <w:rPr>
          <w:rFonts w:ascii="Verdana" w:eastAsia="Calibri" w:hAnsi="Verdana" w:cs="Arial"/>
          <w:sz w:val="20"/>
          <w:szCs w:val="20"/>
        </w:rPr>
        <w:t>1.</w:t>
      </w:r>
      <w:proofErr w:type="gramEnd"/>
      <w:r w:rsidRPr="002319D5">
        <w:rPr>
          <w:rFonts w:ascii="Verdana" w:eastAsia="Calibri" w:hAnsi="Verdana" w:cs="Arial"/>
          <w:sz w:val="20"/>
          <w:szCs w:val="20"/>
        </w:rPr>
        <w:t> </w:t>
      </w:r>
      <w:r w:rsidRPr="002319D5">
        <w:rPr>
          <w:rFonts w:ascii="Verdana" w:eastAsia="Calibri" w:hAnsi="Verdana" w:cs="Arial"/>
          <w:sz w:val="20"/>
          <w:szCs w:val="20"/>
        </w:rPr>
        <w:t>Live-aboard vessels; and</w:t>
      </w:r>
    </w:p>
    <w:p w:rsidR="002319D5" w:rsidRPr="002319D5" w:rsidRDefault="002319D5" w:rsidP="002319D5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proofErr w:type="gramStart"/>
      <w:r w:rsidRPr="002319D5">
        <w:rPr>
          <w:rFonts w:ascii="Verdana" w:eastAsia="Calibri" w:hAnsi="Verdana" w:cs="Arial"/>
          <w:sz w:val="20"/>
          <w:szCs w:val="20"/>
        </w:rPr>
        <w:t>2.</w:t>
      </w:r>
      <w:proofErr w:type="gramEnd"/>
      <w:r w:rsidRPr="002319D5">
        <w:rPr>
          <w:rFonts w:ascii="Verdana" w:eastAsia="Calibri" w:hAnsi="Verdana" w:cs="Arial"/>
          <w:sz w:val="20"/>
          <w:szCs w:val="20"/>
        </w:rPr>
        <w:t> </w:t>
      </w:r>
      <w:r w:rsidRPr="002319D5">
        <w:rPr>
          <w:rFonts w:ascii="Verdana" w:eastAsia="Calibri" w:hAnsi="Verdana" w:cs="Arial"/>
          <w:sz w:val="20"/>
          <w:szCs w:val="20"/>
        </w:rPr>
        <w:t>Commercial vessels, excluding commercial fishing vessels;</w:t>
      </w:r>
    </w:p>
    <w:p w:rsidR="002319D5" w:rsidRPr="002319D5" w:rsidRDefault="002319D5" w:rsidP="002319D5">
      <w:pPr>
        <w:pStyle w:val="ListParagraph"/>
        <w:numPr>
          <w:ilvl w:val="0"/>
          <w:numId w:val="4"/>
        </w:numPr>
        <w:rPr>
          <w:rFonts w:ascii="Verdana" w:eastAsia="Calibri" w:hAnsi="Verdana" w:cs="Arial"/>
          <w:sz w:val="20"/>
          <w:szCs w:val="20"/>
        </w:rPr>
      </w:pPr>
      <w:r w:rsidRPr="002319D5">
        <w:rPr>
          <w:rFonts w:ascii="Verdana" w:eastAsia="Calibri" w:hAnsi="Verdana" w:cs="Arial"/>
          <w:sz w:val="20"/>
          <w:szCs w:val="20"/>
        </w:rPr>
        <w:t>Regulating engine or exhaust noise, except as provided in s. 327.65; or</w:t>
      </w:r>
    </w:p>
    <w:p w:rsidR="002319D5" w:rsidRPr="002319D5" w:rsidRDefault="002319D5" w:rsidP="002319D5">
      <w:pPr>
        <w:pStyle w:val="ListParagraph"/>
        <w:numPr>
          <w:ilvl w:val="0"/>
          <w:numId w:val="4"/>
        </w:numPr>
        <w:rPr>
          <w:rFonts w:ascii="Verdana" w:eastAsia="Calibri" w:hAnsi="Verdana" w:cs="Arial"/>
          <w:sz w:val="20"/>
          <w:szCs w:val="20"/>
        </w:rPr>
      </w:pPr>
      <w:r w:rsidRPr="002319D5">
        <w:rPr>
          <w:rFonts w:ascii="Verdana" w:eastAsia="Calibri" w:hAnsi="Verdana" w:cs="Arial"/>
          <w:sz w:val="20"/>
          <w:szCs w:val="20"/>
        </w:rPr>
        <w:t>That conflicts with any provisions of this chapter or any amendments thereto or rules adopted thereunder.</w:t>
      </w:r>
    </w:p>
    <w:p w:rsidR="002319D5" w:rsidRDefault="002319D5" w:rsidP="002319D5">
      <w:pPr>
        <w:rPr>
          <w:b/>
        </w:rPr>
      </w:pPr>
    </w:p>
    <w:p w:rsidR="002319D5" w:rsidRPr="002319D5" w:rsidRDefault="002319D5" w:rsidP="002319D5">
      <w:pPr>
        <w:rPr>
          <w:sz w:val="28"/>
          <w:szCs w:val="28"/>
        </w:rPr>
      </w:pPr>
      <w:r w:rsidRPr="002319D5">
        <w:rPr>
          <w:b/>
          <w:sz w:val="28"/>
          <w:szCs w:val="28"/>
        </w:rPr>
        <w:t xml:space="preserve">What we </w:t>
      </w:r>
      <w:proofErr w:type="gramStart"/>
      <w:r w:rsidRPr="002319D5">
        <w:rPr>
          <w:b/>
          <w:sz w:val="28"/>
          <w:szCs w:val="28"/>
          <w:u w:val="single"/>
        </w:rPr>
        <w:t>Can</w:t>
      </w:r>
      <w:proofErr w:type="gramEnd"/>
      <w:r w:rsidRPr="002319D5">
        <w:rPr>
          <w:b/>
          <w:sz w:val="28"/>
          <w:szCs w:val="28"/>
        </w:rPr>
        <w:t xml:space="preserve"> do:</w:t>
      </w:r>
    </w:p>
    <w:p w:rsidR="002319D5" w:rsidRPr="002319D5" w:rsidRDefault="002319D5" w:rsidP="002319D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2319D5">
        <w:rPr>
          <w:rFonts w:ascii="Verdana" w:hAnsi="Verdana" w:cs="Arial"/>
          <w:sz w:val="20"/>
          <w:szCs w:val="20"/>
          <w:highlight w:val="yellow"/>
        </w:rPr>
        <w:t>prohibit or restrict the mooring or anchoring of floating structures, live-aboard vessels</w:t>
      </w:r>
      <w:r w:rsidRPr="002319D5">
        <w:rPr>
          <w:rFonts w:ascii="Verdana" w:hAnsi="Verdana" w:cs="Arial"/>
          <w:sz w:val="20"/>
          <w:szCs w:val="20"/>
        </w:rPr>
        <w:t>, or commercial vessels, excluding commercial fishing vessels, within their jurisdictions</w:t>
      </w:r>
    </w:p>
    <w:p w:rsidR="002319D5" w:rsidRPr="002319D5" w:rsidRDefault="002319D5" w:rsidP="002319D5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gramStart"/>
      <w:r w:rsidRPr="002319D5">
        <w:rPr>
          <w:rFonts w:ascii="Verdana" w:hAnsi="Verdana" w:cs="Arial"/>
          <w:sz w:val="20"/>
          <w:szCs w:val="20"/>
          <w:highlight w:val="yellow"/>
        </w:rPr>
        <w:t>sewage</w:t>
      </w:r>
      <w:proofErr w:type="gramEnd"/>
      <w:r w:rsidRPr="002319D5">
        <w:rPr>
          <w:rFonts w:ascii="Verdana" w:hAnsi="Verdana" w:cs="Arial"/>
          <w:sz w:val="20"/>
          <w:szCs w:val="20"/>
          <w:highlight w:val="yellow"/>
        </w:rPr>
        <w:t xml:space="preserve"> </w:t>
      </w:r>
      <w:proofErr w:type="spellStart"/>
      <w:r w:rsidRPr="002319D5">
        <w:rPr>
          <w:rFonts w:ascii="Verdana" w:hAnsi="Verdana" w:cs="Arial"/>
          <w:sz w:val="20"/>
          <w:szCs w:val="20"/>
          <w:highlight w:val="yellow"/>
        </w:rPr>
        <w:t>pumpout</w:t>
      </w:r>
      <w:proofErr w:type="spellEnd"/>
      <w:r w:rsidRPr="002319D5">
        <w:rPr>
          <w:rFonts w:ascii="Verdana" w:hAnsi="Verdana" w:cs="Arial"/>
          <w:sz w:val="20"/>
          <w:szCs w:val="20"/>
          <w:highlight w:val="yellow"/>
        </w:rPr>
        <w:t xml:space="preserve"> requirements for live-aboard vessels, floating structures</w:t>
      </w:r>
      <w:r w:rsidRPr="002319D5">
        <w:rPr>
          <w:rFonts w:ascii="Verdana" w:hAnsi="Verdana" w:cs="Arial"/>
          <w:sz w:val="20"/>
          <w:szCs w:val="20"/>
        </w:rPr>
        <w:t>, and commercial vessels, excluding commercial fishing vessels, within any areas of its jurisdiction.</w:t>
      </w:r>
    </w:p>
    <w:p w:rsidR="002319D5" w:rsidRPr="002319D5" w:rsidRDefault="002319D5" w:rsidP="002319D5">
      <w:pPr>
        <w:pStyle w:val="ListParagraph"/>
        <w:numPr>
          <w:ilvl w:val="0"/>
          <w:numId w:val="2"/>
        </w:numPr>
      </w:pPr>
      <w:r w:rsidRPr="002319D5">
        <w:rPr>
          <w:rFonts w:ascii="Verdana" w:hAnsi="Verdana" w:cs="Arial"/>
          <w:sz w:val="20"/>
          <w:szCs w:val="20"/>
        </w:rPr>
        <w:t xml:space="preserve">implement the procedures for abandoned or lost property that allow the local law enforcement agency to remove a vessel affixed to a </w:t>
      </w:r>
      <w:r w:rsidRPr="002319D5">
        <w:rPr>
          <w:rFonts w:ascii="Verdana" w:hAnsi="Verdana" w:cs="Arial"/>
          <w:sz w:val="20"/>
          <w:szCs w:val="20"/>
          <w:highlight w:val="yellow"/>
        </w:rPr>
        <w:t>public dock</w:t>
      </w:r>
      <w:r w:rsidRPr="002319D5">
        <w:rPr>
          <w:rFonts w:ascii="Verdana" w:hAnsi="Verdana" w:cs="Arial"/>
          <w:sz w:val="20"/>
          <w:szCs w:val="20"/>
        </w:rPr>
        <w:t xml:space="preserve"> within its jurisdiction that is abandoned or lost property pursuant to s. 705.103(1).</w:t>
      </w:r>
    </w:p>
    <w:sectPr w:rsidR="002319D5" w:rsidRPr="002319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78" w:rsidRDefault="000A1378" w:rsidP="000A1378">
      <w:pPr>
        <w:spacing w:after="0" w:line="240" w:lineRule="auto"/>
      </w:pPr>
      <w:r>
        <w:separator/>
      </w:r>
    </w:p>
  </w:endnote>
  <w:endnote w:type="continuationSeparator" w:id="0">
    <w:p w:rsidR="000A1378" w:rsidRDefault="000A1378" w:rsidP="000A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78" w:rsidRDefault="000A1378" w:rsidP="000A1378">
      <w:pPr>
        <w:spacing w:after="0" w:line="240" w:lineRule="auto"/>
      </w:pPr>
      <w:r>
        <w:separator/>
      </w:r>
    </w:p>
  </w:footnote>
  <w:footnote w:type="continuationSeparator" w:id="0">
    <w:p w:rsidR="000A1378" w:rsidRDefault="000A1378" w:rsidP="000A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78" w:rsidRPr="000A1378" w:rsidRDefault="000A1378">
    <w:pPr>
      <w:pStyle w:val="Header"/>
      <w:rPr>
        <w:i/>
        <w:sz w:val="18"/>
        <w:szCs w:val="18"/>
      </w:rPr>
    </w:pPr>
    <w:r w:rsidRPr="000A1378">
      <w:rPr>
        <w:i/>
        <w:sz w:val="18"/>
        <w:szCs w:val="18"/>
      </w:rPr>
      <w:fldChar w:fldCharType="begin"/>
    </w:r>
    <w:r w:rsidRPr="000A1378">
      <w:rPr>
        <w:i/>
        <w:sz w:val="18"/>
        <w:szCs w:val="18"/>
      </w:rPr>
      <w:instrText xml:space="preserve"> FILENAME   \* MERGEFORMAT </w:instrText>
    </w:r>
    <w:r w:rsidRPr="000A1378">
      <w:rPr>
        <w:i/>
        <w:sz w:val="18"/>
        <w:szCs w:val="18"/>
      </w:rPr>
      <w:fldChar w:fldCharType="separate"/>
    </w:r>
    <w:r w:rsidR="00DF0F07">
      <w:rPr>
        <w:i/>
        <w:noProof/>
        <w:sz w:val="18"/>
        <w:szCs w:val="18"/>
      </w:rPr>
      <w:t>GC-#1318677-v1-LOCAL_REGULATION.docx</w:t>
    </w:r>
    <w:r w:rsidRPr="000A1378">
      <w:rPr>
        <w:i/>
        <w:sz w:val="18"/>
        <w:szCs w:val="18"/>
      </w:rPr>
      <w:fldChar w:fldCharType="end"/>
    </w:r>
  </w:p>
  <w:p w:rsidR="000A1378" w:rsidRDefault="000A1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68A"/>
    <w:multiLevelType w:val="hybridMultilevel"/>
    <w:tmpl w:val="7AC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7F27"/>
    <w:multiLevelType w:val="hybridMultilevel"/>
    <w:tmpl w:val="8B2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C7E4E"/>
    <w:multiLevelType w:val="hybridMultilevel"/>
    <w:tmpl w:val="0F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08A"/>
    <w:multiLevelType w:val="hybridMultilevel"/>
    <w:tmpl w:val="EC32E970"/>
    <w:lvl w:ilvl="0" w:tplc="EBD4EAF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5"/>
    <w:rsid w:val="000A1378"/>
    <w:rsid w:val="002319D5"/>
    <w:rsid w:val="002D55FE"/>
    <w:rsid w:val="003863F9"/>
    <w:rsid w:val="003A52E4"/>
    <w:rsid w:val="00D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78"/>
  </w:style>
  <w:style w:type="paragraph" w:styleId="Footer">
    <w:name w:val="footer"/>
    <w:basedOn w:val="Normal"/>
    <w:link w:val="Foot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78"/>
  </w:style>
  <w:style w:type="paragraph" w:styleId="BalloonText">
    <w:name w:val="Balloon Text"/>
    <w:basedOn w:val="Normal"/>
    <w:link w:val="BalloonTextChar"/>
    <w:uiPriority w:val="99"/>
    <w:semiHidden/>
    <w:unhideWhenUsed/>
    <w:rsid w:val="000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78"/>
  </w:style>
  <w:style w:type="paragraph" w:styleId="Footer">
    <w:name w:val="footer"/>
    <w:basedOn w:val="Normal"/>
    <w:link w:val="Foot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78"/>
  </w:style>
  <w:style w:type="paragraph" w:styleId="BalloonText">
    <w:name w:val="Balloon Text"/>
    <w:basedOn w:val="Normal"/>
    <w:link w:val="BalloonTextChar"/>
    <w:uiPriority w:val="99"/>
    <w:semiHidden/>
    <w:unhideWhenUsed/>
    <w:rsid w:val="000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>City of Jacksonville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2019-11-05T22:12:00Z</cp:lastPrinted>
  <dcterms:created xsi:type="dcterms:W3CDTF">2019-11-05T22:03:00Z</dcterms:created>
  <dcterms:modified xsi:type="dcterms:W3CDTF">2019-11-05T22:16:00Z</dcterms:modified>
</cp:coreProperties>
</file>